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………………………………… MAHKEMESİ'NE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00"/>
        <w:gridCol w:w="300"/>
        <w:gridCol w:w="5200"/>
      </w:tblGrid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DOSYA NO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SANIK / HÜKÜMLÜ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VEKİLİ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KARAR TARİHİ VE NOSU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KONU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Kesinleşen hüküm hakkında yargılamanın yenilenmesi talebimizden ibarettir.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 :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5271 S. K. m. 311 ve devamı ile ilgili mevzuat.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DELİLLER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</w:t>
      </w:r>
    </w:p>
    <w:p>
      <w:pPr>
        <w:spacing w:after="24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Yukarıda açıklanan nedenlerle, yargılamanın yenilenmesi isteminin kabulüne ve ………………………………………………………… karar verilmesini saygıyla arz ve talep ederiz.</w:t>
      </w:r>
    </w:p>
    <w:p>
      <w:pPr>
        <w:spacing w:after="60" w:befor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……/……/20……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Sanık / Hükümlü veya Vekili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Ad Soyad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İmza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 :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1- Yargılamanın yenilenmesi sebebine ilişkin belgeler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2- Kesinleşmiş karar örneği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3- Onaylı vekâletname örneği (vekil ile başvuruluyorsa)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6B6255"/>
        <w:sz w:val="16"/>
        <w:szCs w:val="16"/>
      </w:rPr>
      <w:t xml:space="preserve">Bu dilekçe örneği genel bilgilendirme amaçlıdır; her dosyanın koşulları farklı olduğundan somut olaya göre uyarlanmalıdır. — ACY Hukuk ve Danışmanlık · acyhukuk.com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Yargılamanın Yenilenmesi Dilekçe Örneği (CMK m. 311)</dc:title>
  <dc:creator>ACY Hukuk ve Danışmanlık</dc:creator>
  <dc:description>Yargılamanın Yenilenmesi Dilekçe Örneği (CMK m. 311)</dc:description>
  <cp:lastModifiedBy>Un-named</cp:lastModifiedBy>
  <cp:revision>1</cp:revision>
  <dcterms:created xsi:type="dcterms:W3CDTF">2026-10-22T09:25:52.825Z</dcterms:created>
  <dcterms:modified xsi:type="dcterms:W3CDTF">2026-10-22T09:25:52.826Z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